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bookmarkStart w:id="0" w:name="_GoBack"/>
      <w:bookmarkEnd w:id="0"/>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6C4FFE70"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r w:rsidR="00A753D4">
              <w:rPr>
                <w:rFonts w:asciiTheme="minorHAnsi" w:hAnsiTheme="minorHAnsi"/>
                <w:b w:val="0"/>
                <w:color w:val="auto"/>
                <w:sz w:val="20"/>
                <w:szCs w:val="20"/>
                <w:lang w:val="en-US"/>
              </w:rPr>
              <w:t xml:space="preserve"> </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52D3C0FE"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r w:rsidR="00A753D4">
              <w:rPr>
                <w:rFonts w:asciiTheme="minorHAnsi" w:hAnsiTheme="minorHAnsi"/>
                <w:b w:val="0"/>
                <w:color w:val="auto"/>
                <w:sz w:val="20"/>
                <w:szCs w:val="20"/>
                <w:lang w:val="en-US"/>
              </w:rPr>
              <w:t xml:space="preserve">  Bart Voortman</w:t>
            </w:r>
          </w:p>
        </w:tc>
        <w:tc>
          <w:tcPr>
            <w:tcW w:w="4678" w:type="dxa"/>
          </w:tcPr>
          <w:p w14:paraId="24945162" w14:textId="77777777" w:rsidR="005E1906" w:rsidRPr="004E0C69"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4E905E05" w:rsidR="005E1906" w:rsidRPr="009F7087" w:rsidRDefault="005E1906" w:rsidP="005E1906">
            <w:pPr>
              <w:spacing w:line="288" w:lineRule="auto"/>
              <w:rPr>
                <w:rFonts w:asciiTheme="minorHAnsi" w:hAnsiTheme="minorHAnsi"/>
                <w:b w:val="0"/>
                <w:color w:val="auto"/>
                <w:sz w:val="20"/>
                <w:szCs w:val="20"/>
                <w:lang w:val="en-US"/>
              </w:rPr>
            </w:pPr>
            <w:proofErr w:type="spellStart"/>
            <w:r w:rsidRPr="009F7087">
              <w:rPr>
                <w:rFonts w:asciiTheme="minorHAnsi" w:hAnsiTheme="minorHAnsi"/>
                <w:b w:val="0"/>
                <w:color w:val="auto"/>
                <w:sz w:val="20"/>
                <w:szCs w:val="20"/>
                <w:lang w:val="en-US"/>
              </w:rPr>
              <w:t>Organisation</w:t>
            </w:r>
            <w:proofErr w:type="spellEnd"/>
            <w:r w:rsidRPr="009F7087">
              <w:rPr>
                <w:rFonts w:asciiTheme="minorHAnsi" w:hAnsiTheme="minorHAnsi"/>
                <w:b w:val="0"/>
                <w:color w:val="auto"/>
                <w:sz w:val="20"/>
                <w:szCs w:val="20"/>
                <w:lang w:val="en-US"/>
              </w:rPr>
              <w:t>:</w:t>
            </w:r>
            <w:r w:rsidR="00A753D4">
              <w:rPr>
                <w:rFonts w:asciiTheme="minorHAnsi" w:hAnsiTheme="minorHAnsi"/>
                <w:b w:val="0"/>
                <w:color w:val="auto"/>
                <w:sz w:val="20"/>
                <w:szCs w:val="20"/>
                <w:lang w:val="en-US"/>
              </w:rPr>
              <w:t xml:space="preserve"> Kozijnshop.nl B.V.</w:t>
            </w:r>
          </w:p>
        </w:tc>
        <w:tc>
          <w:tcPr>
            <w:tcW w:w="4678" w:type="dxa"/>
          </w:tcPr>
          <w:p w14:paraId="03435B9A" w14:textId="77777777" w:rsidR="005E1906" w:rsidRPr="004E0C69" w:rsidRDefault="005E1906"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4FAFE7DC"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r w:rsidR="00A753D4">
              <w:rPr>
                <w:rFonts w:asciiTheme="minorHAnsi" w:hAnsiTheme="minorHAnsi"/>
                <w:b w:val="0"/>
                <w:color w:val="auto"/>
                <w:sz w:val="20"/>
                <w:szCs w:val="20"/>
                <w:lang w:val="en-US"/>
              </w:rPr>
              <w:t xml:space="preserve"> The Netherlands</w:t>
            </w:r>
          </w:p>
        </w:tc>
        <w:tc>
          <w:tcPr>
            <w:tcW w:w="4678" w:type="dxa"/>
          </w:tcPr>
          <w:p w14:paraId="66172CB4" w14:textId="77777777" w:rsidR="005E1906" w:rsidRPr="004E0C69"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426DDE58"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r w:rsidR="00A753D4">
              <w:rPr>
                <w:rFonts w:asciiTheme="minorHAnsi" w:hAnsiTheme="minorHAnsi"/>
                <w:b w:val="0"/>
                <w:color w:val="auto"/>
                <w:sz w:val="20"/>
                <w:szCs w:val="20"/>
                <w:lang w:val="en-US"/>
              </w:rPr>
              <w:t xml:space="preserve"> 12-8-2019</w:t>
            </w:r>
          </w:p>
        </w:tc>
        <w:tc>
          <w:tcPr>
            <w:tcW w:w="4678" w:type="dxa"/>
          </w:tcPr>
          <w:p w14:paraId="761C7D55" w14:textId="77777777" w:rsidR="005E1906" w:rsidRPr="004E0C69" w:rsidRDefault="005E1906"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B95D7F5" w14:textId="26AFF362" w:rsidR="001C05B5" w:rsidRPr="004E0C69" w:rsidRDefault="00A753D4" w:rsidP="004E0C69">
            <w:pPr>
              <w:spacing w:before="40" w:after="40"/>
              <w:rPr>
                <w:rFonts w:asciiTheme="minorHAnsi" w:hAnsiTheme="minorHAnsi"/>
                <w:sz w:val="18"/>
                <w:szCs w:val="18"/>
                <w:lang w:eastAsia="en-US"/>
              </w:rPr>
            </w:pPr>
            <w:r>
              <w:rPr>
                <w:rFonts w:asciiTheme="minorHAnsi" w:hAnsiTheme="minorHAnsi"/>
                <w:sz w:val="18"/>
                <w:szCs w:val="18"/>
                <w:lang w:eastAsia="en-US"/>
              </w:rPr>
              <w:t>We have been using STIP for more than a year. The core benefit for STIP is the practical ease of use for a SME/start-up like us.</w:t>
            </w:r>
            <w:r w:rsidR="005631E3">
              <w:rPr>
                <w:rFonts w:asciiTheme="minorHAnsi" w:hAnsiTheme="minorHAnsi"/>
                <w:sz w:val="18"/>
                <w:szCs w:val="18"/>
                <w:lang w:eastAsia="en-US"/>
              </w:rPr>
              <w:t xml:space="preserve"> </w:t>
            </w:r>
            <w:proofErr w:type="gramStart"/>
            <w:r w:rsidR="005631E3">
              <w:rPr>
                <w:rFonts w:asciiTheme="minorHAnsi" w:hAnsiTheme="minorHAnsi"/>
                <w:sz w:val="18"/>
                <w:szCs w:val="18"/>
                <w:lang w:eastAsia="en-US"/>
              </w:rPr>
              <w:t>Part of our customer base are</w:t>
            </w:r>
            <w:proofErr w:type="gramEnd"/>
            <w:r w:rsidR="005631E3">
              <w:rPr>
                <w:rFonts w:asciiTheme="minorHAnsi" w:hAnsiTheme="minorHAnsi"/>
                <w:sz w:val="18"/>
                <w:szCs w:val="18"/>
                <w:lang w:eastAsia="en-US"/>
              </w:rPr>
              <w:t xml:space="preserve"> end consumers, they are becoming increasingly aware of environmental issues. STIP enables us to provide them with certified products.</w:t>
            </w:r>
            <w:r>
              <w:rPr>
                <w:rFonts w:asciiTheme="minorHAnsi" w:hAnsiTheme="minorHAnsi"/>
                <w:sz w:val="18"/>
                <w:szCs w:val="18"/>
                <w:lang w:eastAsia="en-US"/>
              </w:rPr>
              <w:t xml:space="preserve"> </w:t>
            </w:r>
          </w:p>
          <w:p w14:paraId="3E8AD49B" w14:textId="77777777" w:rsidR="001C05B5" w:rsidRPr="004E0C69" w:rsidRDefault="001C05B5" w:rsidP="004E0C69">
            <w:pPr>
              <w:spacing w:before="40" w:after="40"/>
              <w:rPr>
                <w:rFonts w:asciiTheme="minorHAnsi" w:hAnsiTheme="minorHAnsi"/>
                <w:sz w:val="16"/>
                <w:szCs w:val="16"/>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A351E" w14:textId="77777777" w:rsidR="00EF5E7A" w:rsidRDefault="00EF5E7A" w:rsidP="00D672F8">
      <w:r>
        <w:separator/>
      </w:r>
    </w:p>
  </w:endnote>
  <w:endnote w:type="continuationSeparator" w:id="0">
    <w:p w14:paraId="56F4DA62" w14:textId="77777777" w:rsidR="00EF5E7A" w:rsidRDefault="00EF5E7A"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1822A7" w:rsidRPr="001822A7">
          <w:rPr>
            <w:rFonts w:ascii="Verdana" w:hAnsi="Verdana"/>
            <w:noProof/>
            <w:sz w:val="20"/>
            <w:szCs w:val="20"/>
            <w:lang w:val="nl-NL"/>
          </w:rPr>
          <w:t>2</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8E60E" w14:textId="77777777" w:rsidR="00EF5E7A" w:rsidRDefault="00EF5E7A" w:rsidP="00D672F8">
      <w:r>
        <w:separator/>
      </w:r>
    </w:p>
  </w:footnote>
  <w:footnote w:type="continuationSeparator" w:id="0">
    <w:p w14:paraId="255D6094" w14:textId="77777777" w:rsidR="00EF5E7A" w:rsidRDefault="00EF5E7A"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822A7"/>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631E3"/>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753D4"/>
    <w:rsid w:val="00A82BF4"/>
    <w:rsid w:val="00A95BC3"/>
    <w:rsid w:val="00AA0230"/>
    <w:rsid w:val="00AB2FDA"/>
    <w:rsid w:val="00AC27A1"/>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5AAD"/>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5E7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2096</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2</cp:revision>
  <dcterms:created xsi:type="dcterms:W3CDTF">2019-08-13T06:49:00Z</dcterms:created>
  <dcterms:modified xsi:type="dcterms:W3CDTF">2019-08-13T06:49:00Z</dcterms:modified>
</cp:coreProperties>
</file>